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72C" w:rsidRDefault="004F3094">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6D272C" w:rsidRDefault="006D272C">
      <w:pPr>
        <w:pStyle w:val="NoSpacing"/>
        <w:rPr>
          <w:rFonts w:ascii="Arial" w:hAnsi="Arial" w:cs="Arial"/>
          <w:b/>
          <w:sz w:val="14"/>
          <w:szCs w:val="14"/>
        </w:rPr>
      </w:pPr>
    </w:p>
    <w:p w:rsidR="006D272C" w:rsidRDefault="004F3094">
      <w:pPr>
        <w:pStyle w:val="NoSpacing"/>
        <w:jc w:val="center"/>
        <w:rPr>
          <w:rFonts w:ascii="Cambria" w:hAnsi="Cambria"/>
          <w:b/>
          <w:sz w:val="28"/>
          <w:szCs w:val="28"/>
        </w:rPr>
      </w:pPr>
      <w:r>
        <w:rPr>
          <w:rFonts w:ascii="Cambria" w:hAnsi="Cambria"/>
          <w:b/>
          <w:sz w:val="28"/>
          <w:szCs w:val="28"/>
        </w:rPr>
        <w:t>SYLLABUS</w:t>
      </w:r>
    </w:p>
    <w:p w:rsidR="006D272C" w:rsidRDefault="006D272C">
      <w:pPr>
        <w:pStyle w:val="NoSpacing"/>
        <w:jc w:val="center"/>
        <w:rPr>
          <w:rFonts w:ascii="Book Antiqua" w:hAnsi="Book Antiqua"/>
          <w:b/>
          <w:sz w:val="20"/>
          <w:szCs w:val="20"/>
        </w:rPr>
      </w:pPr>
    </w:p>
    <w:p w:rsidR="006D272C" w:rsidRDefault="006D272C">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6D272C" w:rsidRDefault="006D272C">
            <w:pPr>
              <w:pStyle w:val="NoSpacing"/>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Zelena hemija</w:t>
            </w:r>
            <w:r w:rsidR="00A70315">
              <w:rPr>
                <w:rFonts w:asciiTheme="majorHAnsi" w:hAnsiTheme="majorHAnsi" w:cs="Arial"/>
                <w:b/>
                <w:sz w:val="18"/>
                <w:szCs w:val="18"/>
              </w:rPr>
              <w:t xml:space="preserve"> </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ZH</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1799" w:type="dxa"/>
            <w:gridSpan w:val="5"/>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675B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75BB4">
              <w:rPr>
                <w:rFonts w:asciiTheme="majorHAnsi" w:hAnsiTheme="majorHAnsi" w:cs="Arial"/>
                <w:b/>
                <w:sz w:val="18"/>
                <w:szCs w:val="18"/>
              </w:rPr>
              <w:t>1</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6D272C">
              <w:trPr>
                <w:trHeight w:hRule="exact" w:val="329"/>
              </w:trPr>
              <w:tc>
                <w:tcPr>
                  <w:tcW w:w="994" w:type="dxa"/>
                  <w:vAlign w:val="center"/>
                </w:tcPr>
                <w:bookmarkStart w:id="0" w:name="Dropdown1"/>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4F3094">
                    <w:rPr>
                      <w:rFonts w:asciiTheme="majorHAnsi" w:hAnsiTheme="majorHAnsi" w:cs="Arial"/>
                      <w:b/>
                      <w:sz w:val="18"/>
                      <w:szCs w:val="18"/>
                    </w:rPr>
                    <w:instrText xml:space="preserve"> FORMDROPDOWN </w:instrText>
                  </w:r>
                  <w:r w:rsidR="00D04A57">
                    <w:rPr>
                      <w:rFonts w:asciiTheme="majorHAnsi" w:hAnsiTheme="majorHAnsi" w:cs="Arial"/>
                      <w:b/>
                      <w:sz w:val="18"/>
                      <w:szCs w:val="18"/>
                    </w:rPr>
                  </w:r>
                  <w:r w:rsidR="00D04A57">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6D272C" w:rsidRDefault="006D272C">
                  <w:pPr>
                    <w:pStyle w:val="NoSpacing"/>
                    <w:ind w:right="5875"/>
                    <w:jc w:val="center"/>
                    <w:rPr>
                      <w:rFonts w:asciiTheme="majorHAnsi" w:hAnsiTheme="majorHAnsi" w:cs="Arial"/>
                      <w:b/>
                      <w:sz w:val="18"/>
                      <w:szCs w:val="18"/>
                    </w:rPr>
                  </w:pPr>
                </w:p>
              </w:tc>
            </w:tr>
          </w:tbl>
          <w:p w:rsidR="006D272C" w:rsidRDefault="006D272C">
            <w:pPr>
              <w:pStyle w:val="NoSpacing"/>
              <w:ind w:left="322"/>
              <w:rPr>
                <w:rFonts w:asciiTheme="majorHAnsi" w:hAnsiTheme="majorHAnsi" w:cs="Arial"/>
                <w:b/>
                <w:sz w:val="20"/>
                <w:szCs w:val="20"/>
              </w:rPr>
            </w:pPr>
          </w:p>
        </w:tc>
        <w:tc>
          <w:tcPr>
            <w:tcW w:w="2890" w:type="dxa"/>
            <w:gridSpan w:val="10"/>
          </w:tcPr>
          <w:p w:rsidR="006D272C" w:rsidRDefault="006D272C">
            <w:pPr>
              <w:pStyle w:val="NoSpacing"/>
              <w:rPr>
                <w:rFonts w:asciiTheme="majorHAnsi" w:hAnsiTheme="majorHAnsi" w:cs="Arial"/>
                <w:b/>
                <w:sz w:val="20"/>
                <w:szCs w:val="20"/>
              </w:rPr>
            </w:pP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3"/>
          <w:wAfter w:w="8515"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6D272C" w:rsidRDefault="006D272C">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6D272C" w:rsidRDefault="00AA0249" w:rsidP="00DB115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7</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30" w:type="dxa"/>
            <w:gridSpan w:val="32"/>
            <w:tcBorders>
              <w:top w:val="single" w:sz="2" w:space="0" w:color="000000"/>
            </w:tcBorders>
            <w:shd w:val="clear" w:color="auto" w:fill="auto"/>
            <w:tcMar>
              <w:top w:w="0" w:type="dxa"/>
            </w:tcMar>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1"/>
          <w:wAfter w:w="856" w:type="dxa"/>
          <w:trHeight w:hRule="exact" w:val="454"/>
        </w:trPr>
        <w:tc>
          <w:tcPr>
            <w:tcW w:w="3366" w:type="dxa"/>
            <w:gridSpan w:val="10"/>
            <w:tcBorders>
              <w:right w:val="single" w:sz="2" w:space="0" w:color="000000"/>
            </w:tcBorders>
            <w:shd w:val="clear" w:color="auto" w:fill="auto"/>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rsidR="006D272C" w:rsidRDefault="004F3094">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rsidR="006D272C" w:rsidRDefault="004F3094">
            <w:pPr>
              <w:pStyle w:val="NoSpacing"/>
              <w:jc w:val="center"/>
              <w:rPr>
                <w:rFonts w:asciiTheme="majorHAnsi" w:hAnsiTheme="majorHAnsi" w:cs="Arial"/>
                <w:b/>
                <w:sz w:val="18"/>
                <w:szCs w:val="18"/>
              </w:rPr>
            </w:pPr>
            <w:r>
              <w:rPr>
                <w:rFonts w:asciiTheme="majorHAnsi" w:hAnsiTheme="majorHAnsi" w:cs="Arial"/>
                <w:b/>
                <w:sz w:val="18"/>
                <w:szCs w:val="18"/>
              </w:rPr>
              <w:t>Opterećenje:</w:t>
            </w:r>
          </w:p>
          <w:p w:rsidR="006D272C" w:rsidRDefault="004F3094">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DB115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33,7</w:t>
            </w:r>
            <w:r w:rsidR="00DD7C9E">
              <w:rPr>
                <w:rFonts w:asciiTheme="majorHAnsi" w:hAnsiTheme="majorHAnsi" w:cs="Arial"/>
                <w:b/>
                <w:sz w:val="18"/>
                <w:szCs w:val="18"/>
              </w:rPr>
              <w:t>5</w:t>
            </w:r>
            <w:r>
              <w:rPr>
                <w:rFonts w:asciiTheme="majorHAnsi" w:hAnsiTheme="majorHAnsi" w:cs="Arial"/>
                <w:b/>
                <w:sz w:val="18"/>
                <w:szCs w:val="18"/>
              </w:rPr>
              <w:fldChar w:fldCharType="end"/>
            </w:r>
            <w:bookmarkEnd w:id="1"/>
          </w:p>
        </w:tc>
      </w:tr>
      <w:tr w:rsidR="006D272C">
        <w:trPr>
          <w:trHeight w:val="113"/>
        </w:trPr>
        <w:tc>
          <w:tcPr>
            <w:tcW w:w="2637" w:type="dxa"/>
            <w:gridSpan w:val="8"/>
            <w:shd w:val="clear" w:color="auto" w:fill="auto"/>
            <w:vAlign w:val="center"/>
          </w:tcPr>
          <w:p w:rsidR="006D272C" w:rsidRDefault="006D272C">
            <w:pPr>
              <w:pStyle w:val="NoSpacing"/>
              <w:ind w:left="434"/>
              <w:rPr>
                <w:rFonts w:asciiTheme="majorHAnsi" w:hAnsiTheme="majorHAnsi" w:cs="Arial"/>
                <w:b/>
                <w:sz w:val="10"/>
                <w:szCs w:val="10"/>
              </w:rPr>
            </w:pPr>
          </w:p>
        </w:tc>
        <w:tc>
          <w:tcPr>
            <w:tcW w:w="1852" w:type="dxa"/>
            <w:gridSpan w:val="9"/>
            <w:vAlign w:val="center"/>
          </w:tcPr>
          <w:p w:rsidR="006D272C" w:rsidRDefault="006D272C">
            <w:pPr>
              <w:pStyle w:val="NoSpacing"/>
              <w:rPr>
                <w:rFonts w:asciiTheme="majorHAnsi" w:hAnsiTheme="majorHAnsi" w:cs="Arial"/>
                <w:b/>
                <w:sz w:val="10"/>
                <w:szCs w:val="10"/>
              </w:rPr>
            </w:pPr>
          </w:p>
        </w:tc>
        <w:tc>
          <w:tcPr>
            <w:tcW w:w="1079" w:type="dxa"/>
            <w:gridSpan w:val="6"/>
            <w:vAlign w:val="center"/>
          </w:tcPr>
          <w:p w:rsidR="006D272C" w:rsidRDefault="006D272C">
            <w:pPr>
              <w:pStyle w:val="NoSpacing"/>
              <w:rPr>
                <w:rFonts w:asciiTheme="majorHAnsi" w:hAnsiTheme="majorHAnsi" w:cs="Arial"/>
                <w:b/>
                <w:sz w:val="10"/>
                <w:szCs w:val="10"/>
              </w:rPr>
            </w:pPr>
          </w:p>
        </w:tc>
        <w:tc>
          <w:tcPr>
            <w:tcW w:w="1030" w:type="dxa"/>
            <w:gridSpan w:val="4"/>
            <w:vAlign w:val="center"/>
          </w:tcPr>
          <w:p w:rsidR="006D272C" w:rsidRDefault="006D272C">
            <w:pPr>
              <w:pStyle w:val="NoSpacing"/>
              <w:rPr>
                <w:rFonts w:asciiTheme="majorHAnsi" w:hAnsiTheme="majorHAnsi" w:cs="Arial"/>
                <w:b/>
                <w:sz w:val="10"/>
                <w:szCs w:val="10"/>
              </w:rPr>
            </w:pPr>
          </w:p>
        </w:tc>
        <w:tc>
          <w:tcPr>
            <w:tcW w:w="2090" w:type="dxa"/>
            <w:gridSpan w:val="8"/>
            <w:vAlign w:val="center"/>
          </w:tcPr>
          <w:p w:rsidR="006D272C" w:rsidRDefault="006D272C">
            <w:pPr>
              <w:pStyle w:val="NoSpacing"/>
              <w:rPr>
                <w:rFonts w:asciiTheme="majorHAnsi" w:hAnsiTheme="majorHAnsi" w:cs="Arial"/>
                <w:b/>
                <w:sz w:val="10"/>
                <w:szCs w:val="10"/>
              </w:rPr>
            </w:pPr>
          </w:p>
        </w:tc>
        <w:tc>
          <w:tcPr>
            <w:tcW w:w="1626" w:type="dxa"/>
            <w:gridSpan w:val="3"/>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DB115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45,93</w:t>
            </w:r>
            <w:r>
              <w:rPr>
                <w:rFonts w:asciiTheme="majorHAnsi" w:hAnsiTheme="majorHAnsi" w:cs="Arial"/>
                <w:b/>
                <w:sz w:val="18"/>
                <w:szCs w:val="18"/>
              </w:rPr>
              <w:fldChar w:fldCharType="end"/>
            </w:r>
            <w:bookmarkEnd w:id="2"/>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ind w:rightChars="-182" w:right="-400"/>
              <w:jc w:val="both"/>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A3ED5">
              <w:rPr>
                <w:rFonts w:asciiTheme="majorHAnsi" w:hAnsiTheme="majorHAnsi" w:cs="Arial"/>
                <w:b/>
                <w:sz w:val="18"/>
                <w:szCs w:val="18"/>
              </w:rPr>
              <w:t>7</w:t>
            </w:r>
            <w:r w:rsidR="00A70315">
              <w:rPr>
                <w:rFonts w:asciiTheme="majorHAnsi" w:hAnsiTheme="majorHAnsi" w:cs="Arial"/>
                <w:b/>
                <w:sz w:val="18"/>
                <w:szCs w:val="18"/>
              </w:rPr>
              <w:t>9,68</w:t>
            </w:r>
            <w:r>
              <w:rPr>
                <w:rFonts w:asciiTheme="majorHAnsi" w:hAnsiTheme="majorHAnsi" w:cs="Arial"/>
                <w:b/>
                <w:sz w:val="18"/>
                <w:szCs w:val="18"/>
              </w:rPr>
              <w:fldChar w:fldCharType="end"/>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12"/>
          <w:wAfter w:w="4123"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61BC3">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Prirodno-matematički</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42466C">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Hemija/Hemija</w:t>
            </w:r>
            <w:r w:rsidR="00A70315">
              <w:rPr>
                <w:rFonts w:asciiTheme="majorHAnsi" w:hAnsiTheme="majorHAnsi" w:cs="Arial"/>
                <w:b/>
                <w:sz w:val="18"/>
                <w:szCs w:val="18"/>
              </w:rPr>
              <w:t xml:space="preserve">/ </w:t>
            </w:r>
            <w:r w:rsidR="0042466C">
              <w:rPr>
                <w:rFonts w:asciiTheme="majorHAnsi" w:hAnsiTheme="majorHAnsi" w:cs="Arial"/>
                <w:b/>
                <w:sz w:val="18"/>
                <w:szCs w:val="18"/>
              </w:rPr>
              <w:t>Primijenjena hemija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sidRPr="00A70315">
              <w:rPr>
                <w:rFonts w:asciiTheme="majorHAnsi" w:hAnsiTheme="majorHAnsi" w:cs="Arial"/>
                <w:b/>
                <w:sz w:val="18"/>
                <w:szCs w:val="18"/>
              </w:rPr>
              <w:t xml:space="preserve">Dr.sci. </w:t>
            </w:r>
            <w:r w:rsidR="00DB1154">
              <w:rPr>
                <w:rFonts w:asciiTheme="majorHAnsi" w:hAnsiTheme="majorHAnsi" w:cs="Arial"/>
                <w:b/>
                <w:sz w:val="18"/>
                <w:szCs w:val="18"/>
              </w:rPr>
              <w:t>Benjamin Ćatović</w:t>
            </w:r>
            <w:r w:rsidR="00A70315" w:rsidRPr="00A70315">
              <w:rPr>
                <w:rFonts w:asciiTheme="majorHAnsi" w:hAnsiTheme="majorHAnsi" w:cs="Arial"/>
                <w:b/>
                <w:sz w:val="18"/>
                <w:szCs w:val="18"/>
              </w:rPr>
              <w:t xml:space="preserve">, </w:t>
            </w:r>
            <w:r w:rsidR="00DB1154">
              <w:rPr>
                <w:rFonts w:asciiTheme="majorHAnsi" w:hAnsiTheme="majorHAnsi" w:cs="Arial"/>
                <w:b/>
                <w:sz w:val="18"/>
                <w:szCs w:val="18"/>
              </w:rPr>
              <w:t>vanredn</w:t>
            </w:r>
            <w:r w:rsidR="00A70315" w:rsidRPr="00A70315">
              <w:rPr>
                <w:rFonts w:asciiTheme="majorHAnsi" w:hAnsiTheme="majorHAnsi" w:cs="Arial"/>
                <w:b/>
                <w:sz w:val="18"/>
                <w:szCs w:val="18"/>
              </w:rPr>
              <w:t>i profesor</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 xml:space="preserve">Primjena fundamentalnih znanja hemije i srodnih nauka u proizvodnji hemijskih produkata i optimizaciji hemijskih procesa u cilju smanjenja ili eliminacije korištenja i proizvodnje opasnih materija po okoliš. Predstaviti koncept i </w:t>
            </w:r>
            <w:r w:rsidR="00DB1154" w:rsidRPr="00DB1154">
              <w:rPr>
                <w:rFonts w:asciiTheme="majorHAnsi" w:hAnsiTheme="majorHAnsi" w:cs="Arial"/>
                <w:b/>
                <w:sz w:val="18"/>
                <w:szCs w:val="18"/>
              </w:rPr>
              <w:lastRenderedPageBreak/>
              <w:t xml:space="preserve">disciplinu Zelene hemije. Pokazati potrebu i održivost metoda Zelene hemije u hemiji kao nauci i srodnim disciplinama. Predstaviti 12 načela Zelene hemije i metode Zelene hemije uključujući i upotrebu alternativnih sirovina i polaznih materijala, reagensa, rastvarača, ciljne molekule, i katalizatora. Pokazati kako procijeniti reakciju ili postupak i predložiti zelenu alternativu, te se usredotočiti na primjenu inovativnih tehnologija za razvijanje ekološki prihvatljivijih postupaka.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 xml:space="preserve">Sticanje kompetencija za primjenu fundamentalnih znanja hemije i srodnih naučnih disciplina u proizvodnji hemijskih produkata i optimizaciji hemijskih procesa u cilju smanjenja ili eliminacije korištenja i proizvodnje opasnih materija po okoliš. Sticanje saznanja o implementaciji principa Zelene hemije na cijelom polju hemije. Razumijevanje i artikulacija novih etičkih principa.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Predmet pručavanja Zelene hemije. Zelena hemija-definicija; Metodologija zelene hemije; 12 načela Zelene hemije; Sirovine Zelene hemije; Štetni učinci hemikalija na zdravlje i okoliš. Mjerenje i kontrola aktivnosti za zaštitu okoliša. Rastvarači Zelene hemije; Tokovi sinteze zelene hemije; Pristup funkcionalnih grupa Zelenoj hemiji; Kvantitativno/optimizirajuće baziran okvir za projektovanje zelenohemijskih tokova sinteza; Uvod u potrebu za novim etičkim paradigmama u svijetu u kojem moćne tehnologije uključujući i hemijsku mogu imati dugoročne štetne efekte. Zelena hemija i zakonodavstvo.</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U cilju efikasnog izvođenja nastave i postizanja očekivanih ciljeva kursa i kompetencija studenata na kraju semestra na kursu se koriste različite nastavne metode: - predavanja (P) uz upotrebu multimedijalnih sredstava, tehnika aktivnog učenja i uz aktivno učešće i diskusije studenata; - teoretske (auditorne) vježbe (AV) - konsultacije</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Aktivnost studenta se određuje angažmanom u nastavnom procesu, praćenjem i aktivnim učešćem u nastavi na predavanju i vježbama. Za prisustvo na predavanjima i vježbama u toku semestra student može ostvariti od 0 do 4 bodova. Studenti koji su više od tri puta izostali, nemaju pravo na ovjeru predmeta od strane predmetnog nastavnika. Nakon polovine semestra studenti pismeno polažu test (prvi parcijalni) koji obuhvata do tada obrađenu tematiku sa predavanja i vježbi. Test se sastoji od zadataka izračunavanja, definisanja pojmova, višestrukog izbora, dopunjavanja, povezivanja, grafičkog prikazivanja. Svaki tačan odgovor boduje se sa onoliko bodova koji isključivo zavisi od težine pitanja . Dobiveni bodovi na testu se nakon sumiranja konvertuju u broj bodova predviđen syllabusom, tačnije, student na prvom parcijalnom ispitu može ostvariti maksimalno 20 bodova. Na kraju semestra studenti pismeno polažu test (drugi parcijalni) koji obuhvata obrađenu tematiku sa predavanja i vježbi iz drugog dijela semestra. Test se sastoji od zadataka izračunavanja, definisanja pojmova, višestrukog izbora, dopunjavanja, povezivanja, grafičkog prikazivanja. Svaki tačan odgovor boduje se sa onoliko bodova koji isključivo zavisi od težine pitanja. Dobiveni bodovi na testu se nakon sumiranja konvertuju u broj bodova predviđen syllabusom, tačnije, student na drugom parcijalnom ispitu može ostvariti maksimalno 20 bodova. Oba testa polažu svi studenti na predmetu istovremeno čime se postiže ujednačenost nivoa znanja koje se testira, kao i uslovi pod kojima student polaže ispit.   Seminarski rad će obuhvatati tematiku iz oblasti Zelene hemije i treba biti obrađen uz konsultovanje raspoložive dostupne udžbeničke literature, literature dostupne na Internetu, i sl. Studenti su obavezani da u određenom vremenu, najkasnije mjesec dana do kraja semestra, u skladu sa uputsvima, seminarski rad i isti dostave nastavniku na pregled. Završni ispit je pismeni i/ili usmeni. Na završnom ispitu,student može maksimalno ostvariti 50 bodova s tim da je za polaganje potrebno osvojiti nadpolovični broj bodova - 27. Format pitanja u testu je identičan pitanjima na parcijalnim ispitima. Da bi student položio predmet mora ostvariti minimalno 54 kumulativna boda od čega minimalno 2</w:t>
            </w:r>
            <w:r w:rsidR="00DB1154">
              <w:rPr>
                <w:rFonts w:asciiTheme="majorHAnsi" w:hAnsiTheme="majorHAnsi" w:cs="Arial"/>
                <w:b/>
                <w:sz w:val="18"/>
                <w:szCs w:val="18"/>
              </w:rPr>
              <w:t>7</w:t>
            </w:r>
            <w:r w:rsidR="00DB1154" w:rsidRPr="00DB1154">
              <w:rPr>
                <w:rFonts w:asciiTheme="majorHAnsi" w:hAnsiTheme="majorHAnsi" w:cs="Arial"/>
                <w:b/>
                <w:sz w:val="18"/>
                <w:szCs w:val="18"/>
              </w:rPr>
              <w:t xml:space="preserve"> bodova na završnom ispitu. Identičan navedenom je način polaganja popravnog i dodatnog popravnog ispita.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xml:space="preserve">Predispitne obaveze: Testovi: </w:t>
            </w:r>
            <w:r w:rsidR="001C57FB">
              <w:rPr>
                <w:rFonts w:asciiTheme="majorHAnsi" w:hAnsiTheme="majorHAnsi"/>
                <w:b/>
                <w:sz w:val="18"/>
                <w:szCs w:val="18"/>
              </w:rPr>
              <w:t>40</w:t>
            </w:r>
            <w:r w:rsidR="004F3094">
              <w:rPr>
                <w:rFonts w:asciiTheme="majorHAnsi" w:hAnsiTheme="majorHAnsi"/>
                <w:b/>
                <w:sz w:val="18"/>
                <w:szCs w:val="18"/>
              </w:rPr>
              <w:t xml:space="preserve">%, </w:t>
            </w:r>
            <w:r w:rsidR="00A70315">
              <w:rPr>
                <w:rFonts w:asciiTheme="majorHAnsi" w:hAnsiTheme="majorHAnsi"/>
                <w:b/>
                <w:sz w:val="18"/>
                <w:szCs w:val="18"/>
              </w:rPr>
              <w:t>Seminarski rad</w:t>
            </w:r>
            <w:r w:rsidR="004F3094">
              <w:rPr>
                <w:rFonts w:asciiTheme="majorHAnsi" w:hAnsiTheme="majorHAnsi"/>
                <w:b/>
                <w:sz w:val="18"/>
                <w:szCs w:val="18"/>
              </w:rPr>
              <w:t xml:space="preserve">: </w:t>
            </w:r>
            <w:r w:rsidR="001C57FB">
              <w:rPr>
                <w:rFonts w:asciiTheme="majorHAnsi" w:hAnsiTheme="majorHAnsi"/>
                <w:b/>
                <w:sz w:val="18"/>
                <w:szCs w:val="18"/>
              </w:rPr>
              <w:t>1</w:t>
            </w:r>
            <w:r w:rsidR="00C04213">
              <w:rPr>
                <w:rFonts w:asciiTheme="majorHAnsi" w:hAnsiTheme="majorHAnsi"/>
                <w:b/>
                <w:sz w:val="18"/>
                <w:szCs w:val="18"/>
              </w:rPr>
              <w:t>0</w:t>
            </w:r>
            <w:r w:rsidR="004F3094">
              <w:rPr>
                <w:rFonts w:asciiTheme="majorHAnsi" w:hAnsiTheme="majorHAnsi"/>
                <w:b/>
                <w:sz w:val="18"/>
                <w:szCs w:val="18"/>
              </w:rPr>
              <w:t>%</w:t>
            </w:r>
          </w:p>
          <w:p w:rsidR="006D272C" w:rsidRDefault="004F3094">
            <w:pPr>
              <w:pStyle w:val="NoSpacing"/>
              <w:rPr>
                <w:rFonts w:asciiTheme="majorHAnsi" w:hAnsiTheme="majorHAnsi"/>
                <w:b/>
                <w:sz w:val="18"/>
                <w:szCs w:val="18"/>
              </w:rPr>
            </w:pPr>
            <w:r>
              <w:rPr>
                <w:rFonts w:asciiTheme="majorHAnsi" w:hAnsiTheme="majorHAnsi"/>
                <w:b/>
                <w:sz w:val="18"/>
                <w:szCs w:val="18"/>
              </w:rPr>
              <w:t xml:space="preserve">Završni ispit: </w:t>
            </w:r>
            <w:r w:rsidR="00C04213">
              <w:rPr>
                <w:rFonts w:asciiTheme="majorHAnsi" w:hAnsiTheme="majorHAnsi"/>
                <w:b/>
                <w:sz w:val="18"/>
                <w:szCs w:val="18"/>
              </w:rPr>
              <w:t>50</w:t>
            </w:r>
            <w:r>
              <w:rPr>
                <w:rFonts w:asciiTheme="majorHAnsi" w:hAnsiTheme="majorHAnsi"/>
                <w:b/>
                <w:sz w:val="18"/>
                <w:szCs w:val="18"/>
              </w:rPr>
              <w:t>%.</w:t>
            </w:r>
          </w:p>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 xml:space="preserve">Anatas, P, T. and  W illiams,  T.C.,eds (1998): Green Chemistry: Frontiers in benign Chemical Synthesis and Processes, Oxford Universit y Press, New York.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 xml:space="preserve">1. </w:t>
            </w:r>
            <w:r w:rsidR="00DB1154" w:rsidRPr="00DB1154">
              <w:rPr>
                <w:rFonts w:asciiTheme="majorHAnsi" w:hAnsiTheme="majorHAnsi" w:cs="Arial"/>
                <w:b/>
                <w:sz w:val="18"/>
                <w:szCs w:val="18"/>
              </w:rPr>
              <w:t xml:space="preserve"> Jaganjac et al. (2008): Zeleno inženjerstvo okolinski osmišljeno projektovanje hemijskih procesa – Poglavlje zelena hemija, Prevod udžbenika Allen, T.D. and D.R. Schonnard: Green Engeneering ( Environmentall y conscious Design  of Chemical proccesses), prentice Hall PTR, Nj,2002. </w:t>
            </w:r>
            <w:r w:rsidR="001C57FB" w:rsidRPr="001C57FB">
              <w:rPr>
                <w:rFonts w:asciiTheme="majorHAnsi" w:hAnsiTheme="majorHAnsi" w:cs="Arial"/>
                <w:b/>
                <w:sz w:val="18"/>
                <w:szCs w:val="18"/>
              </w:rPr>
              <w:t>.</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lastRenderedPageBreak/>
              <w:t>21. Internet web reference: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01F3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202</w:t>
            </w:r>
            <w:r w:rsidR="00101F34">
              <w:rPr>
                <w:rFonts w:asciiTheme="majorHAnsi" w:hAnsiTheme="majorHAnsi" w:cs="Arial"/>
                <w:b/>
                <w:sz w:val="18"/>
                <w:szCs w:val="18"/>
              </w:rPr>
              <w:t>6</w:t>
            </w:r>
            <w:r w:rsidR="004F3094">
              <w:rPr>
                <w:rFonts w:asciiTheme="majorHAnsi" w:hAnsiTheme="majorHAnsi" w:cs="Arial"/>
                <w:b/>
                <w:sz w:val="18"/>
                <w:szCs w:val="18"/>
              </w:rPr>
              <w:t>/2</w:t>
            </w:r>
            <w:r w:rsidR="00101F34">
              <w:rPr>
                <w:rFonts w:asciiTheme="majorHAnsi" w:hAnsiTheme="majorHAnsi" w:cs="Arial"/>
                <w:b/>
                <w:sz w:val="18"/>
                <w:szCs w:val="18"/>
              </w:rPr>
              <w:t>7</w:t>
            </w:r>
            <w:bookmarkStart w:id="3" w:name="_GoBack"/>
            <w:bookmarkEnd w:id="3"/>
            <w:r>
              <w:rPr>
                <w:rFonts w:asciiTheme="majorHAnsi" w:hAnsiTheme="majorHAnsi" w:cs="Arial"/>
                <w:b/>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30"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1094"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35"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44" w:type="dxa"/>
            <w:gridSpan w:val="6"/>
            <w:tcBorders>
              <w:bottom w:val="single" w:sz="2" w:space="0" w:color="000000"/>
            </w:tcBorders>
          </w:tcPr>
          <w:p w:rsidR="006D272C" w:rsidRDefault="006D272C">
            <w:pPr>
              <w:pStyle w:val="NoSpacing"/>
              <w:rPr>
                <w:rFonts w:asciiTheme="majorHAnsi" w:hAnsiTheme="majorHAnsi" w:cs="Arial"/>
                <w:b/>
                <w:sz w:val="10"/>
                <w:szCs w:val="10"/>
              </w:rPr>
            </w:pPr>
          </w:p>
        </w:tc>
        <w:tc>
          <w:tcPr>
            <w:tcW w:w="2702" w:type="dxa"/>
            <w:gridSpan w:val="9"/>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6D272C" w:rsidRDefault="00AA0249" w:rsidP="005C3BFA">
            <w:pPr>
              <w:pStyle w:val="NoSpacing"/>
              <w:jc w:val="center"/>
              <w:rPr>
                <w:rFonts w:asciiTheme="majorHAnsi" w:hAnsiTheme="majorHAnsi" w:cs="Arial"/>
                <w:b/>
                <w:sz w:val="18"/>
                <w:szCs w:val="18"/>
              </w:rPr>
            </w:pPr>
            <w:r w:rsidRPr="008D1D77">
              <w:rPr>
                <w:rFonts w:asciiTheme="majorHAnsi" w:hAnsiTheme="majorHAnsi" w:cs="Arial"/>
                <w:b/>
                <w:sz w:val="18"/>
                <w:szCs w:val="18"/>
              </w:rPr>
              <w:fldChar w:fldCharType="begin">
                <w:ffData>
                  <w:name w:val=""/>
                  <w:enabled/>
                  <w:calcOnExit w:val="0"/>
                  <w:textInput>
                    <w:maxLength w:val="17"/>
                  </w:textInput>
                </w:ffData>
              </w:fldChar>
            </w:r>
            <w:r w:rsidR="004F3094" w:rsidRPr="005C3BFA">
              <w:rPr>
                <w:rFonts w:asciiTheme="majorHAnsi" w:hAnsiTheme="majorHAnsi" w:cs="Arial"/>
                <w:b/>
                <w:sz w:val="18"/>
                <w:szCs w:val="18"/>
              </w:rPr>
              <w:instrText xml:space="preserve"> FORMTEXT </w:instrText>
            </w:r>
            <w:r w:rsidRPr="008D1D77">
              <w:rPr>
                <w:rFonts w:asciiTheme="majorHAnsi" w:hAnsiTheme="majorHAnsi" w:cs="Arial"/>
                <w:b/>
                <w:sz w:val="18"/>
                <w:szCs w:val="18"/>
              </w:rPr>
            </w:r>
            <w:r w:rsidRPr="008D1D77">
              <w:rPr>
                <w:rFonts w:asciiTheme="majorHAnsi" w:hAnsiTheme="majorHAnsi" w:cs="Arial"/>
                <w:b/>
                <w:sz w:val="18"/>
                <w:szCs w:val="18"/>
              </w:rPr>
              <w:fldChar w:fldCharType="separate"/>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1"/>
                <w:sz w:val="18"/>
                <w:szCs w:val="18"/>
              </w:rPr>
              <w:t> </w:t>
            </w:r>
            <w:r w:rsidRPr="008D1D77">
              <w:rPr>
                <w:rFonts w:asciiTheme="majorHAnsi" w:hAnsiTheme="majorHAnsi" w:cs="Arial"/>
                <w:b/>
                <w:spacing w:val="-1"/>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Book Antiqua" w:hAnsi="Book Antiqua" w:cs="Arial"/>
                <w:b/>
                <w:sz w:val="10"/>
                <w:szCs w:val="10"/>
              </w:rPr>
            </w:pPr>
          </w:p>
        </w:tc>
        <w:tc>
          <w:tcPr>
            <w:tcW w:w="1530"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1094" w:type="dxa"/>
            <w:gridSpan w:val="7"/>
            <w:tcBorders>
              <w:bottom w:val="single" w:sz="2" w:space="0" w:color="000000"/>
            </w:tcBorders>
          </w:tcPr>
          <w:p w:rsidR="006D272C" w:rsidRDefault="006D272C">
            <w:pPr>
              <w:pStyle w:val="NoSpacing"/>
              <w:rPr>
                <w:rFonts w:ascii="Book Antiqua" w:hAnsi="Book Antiqua" w:cs="Arial"/>
                <w:b/>
                <w:sz w:val="10"/>
                <w:szCs w:val="10"/>
              </w:rPr>
            </w:pPr>
          </w:p>
        </w:tc>
        <w:tc>
          <w:tcPr>
            <w:tcW w:w="1035"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2044" w:type="dxa"/>
            <w:gridSpan w:val="6"/>
            <w:tcBorders>
              <w:bottom w:val="single" w:sz="2" w:space="0" w:color="000000"/>
            </w:tcBorders>
          </w:tcPr>
          <w:p w:rsidR="006D272C" w:rsidRDefault="006D272C">
            <w:pPr>
              <w:pStyle w:val="NoSpacing"/>
              <w:rPr>
                <w:rFonts w:ascii="Book Antiqua" w:hAnsi="Book Antiqua" w:cs="Arial"/>
                <w:b/>
                <w:sz w:val="10"/>
                <w:szCs w:val="10"/>
              </w:rPr>
            </w:pPr>
          </w:p>
        </w:tc>
        <w:tc>
          <w:tcPr>
            <w:tcW w:w="2702" w:type="dxa"/>
            <w:gridSpan w:val="9"/>
            <w:tcBorders>
              <w:bottom w:val="single" w:sz="2" w:space="0" w:color="000000"/>
            </w:tcBorders>
          </w:tcPr>
          <w:p w:rsidR="006D272C" w:rsidRDefault="006D272C">
            <w:pPr>
              <w:pStyle w:val="NoSpacing"/>
              <w:rPr>
                <w:rFonts w:ascii="Book Antiqua" w:hAnsi="Book Antiqua" w:cs="Arial"/>
                <w:b/>
                <w:sz w:val="10"/>
                <w:szCs w:val="10"/>
              </w:rPr>
            </w:pPr>
          </w:p>
        </w:tc>
      </w:tr>
    </w:tbl>
    <w:p w:rsidR="006D272C" w:rsidRDefault="006D272C">
      <w:pPr>
        <w:spacing w:after="0" w:line="240" w:lineRule="auto"/>
        <w:rPr>
          <w:rFonts w:ascii="Book Antiqua" w:hAnsi="Book Antiqua"/>
        </w:rPr>
      </w:pPr>
    </w:p>
    <w:sectPr w:rsidR="006D272C" w:rsidSect="006D272C">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A57" w:rsidRDefault="00D04A57">
      <w:pPr>
        <w:spacing w:line="240" w:lineRule="auto"/>
      </w:pPr>
      <w:r>
        <w:separator/>
      </w:r>
    </w:p>
  </w:endnote>
  <w:endnote w:type="continuationSeparator" w:id="0">
    <w:p w:rsidR="00D04A57" w:rsidRDefault="00D04A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6D272C">
      <w:trPr>
        <w:trHeight w:val="445"/>
      </w:trPr>
      <w:tc>
        <w:tcPr>
          <w:tcW w:w="1470" w:type="dxa"/>
          <w:tcMar>
            <w:top w:w="28" w:type="dxa"/>
          </w:tcMar>
        </w:tcPr>
        <w:p w:rsidR="006D272C" w:rsidRDefault="00AA0249">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4F3094">
            <w:rPr>
              <w:rFonts w:ascii="Cambria" w:hAnsi="Cambria" w:cs="Calibri"/>
              <w:sz w:val="16"/>
              <w:szCs w:val="16"/>
            </w:rPr>
            <w:instrText xml:space="preserve"> DATE \@ "d.M.yyyy"</w:instrText>
          </w:r>
          <w:r>
            <w:rPr>
              <w:rFonts w:ascii="Cambria" w:hAnsi="Cambria" w:cs="Calibri"/>
              <w:sz w:val="16"/>
              <w:szCs w:val="16"/>
            </w:rPr>
            <w:fldChar w:fldCharType="separate"/>
          </w:r>
          <w:r w:rsidR="00101F34">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326"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133"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886" w:type="dxa"/>
          <w:tcMar>
            <w:top w:w="28" w:type="dxa"/>
          </w:tcMar>
        </w:tcPr>
        <w:p w:rsidR="006D272C" w:rsidRDefault="004F3094">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AA0249">
            <w:rPr>
              <w:rFonts w:ascii="Cambria" w:hAnsi="Cambria" w:cs="Calibri"/>
              <w:sz w:val="16"/>
              <w:szCs w:val="16"/>
            </w:rPr>
            <w:fldChar w:fldCharType="begin"/>
          </w:r>
          <w:r>
            <w:rPr>
              <w:rFonts w:ascii="Cambria" w:hAnsi="Cambria" w:cs="Calibri"/>
              <w:sz w:val="16"/>
              <w:szCs w:val="16"/>
            </w:rPr>
            <w:instrText xml:space="preserve"> PAGE </w:instrText>
          </w:r>
          <w:r w:rsidR="00AA0249">
            <w:rPr>
              <w:rFonts w:ascii="Cambria" w:hAnsi="Cambria" w:cs="Calibri"/>
              <w:sz w:val="16"/>
              <w:szCs w:val="16"/>
            </w:rPr>
            <w:fldChar w:fldCharType="separate"/>
          </w:r>
          <w:r w:rsidR="00101F34">
            <w:rPr>
              <w:rFonts w:ascii="Cambria" w:hAnsi="Cambria" w:cs="Calibri"/>
              <w:noProof/>
              <w:sz w:val="16"/>
              <w:szCs w:val="16"/>
            </w:rPr>
            <w:t>1</w:t>
          </w:r>
          <w:r w:rsidR="00AA0249">
            <w:rPr>
              <w:rFonts w:ascii="Cambria" w:hAnsi="Cambria" w:cs="Calibri"/>
              <w:sz w:val="16"/>
              <w:szCs w:val="16"/>
            </w:rPr>
            <w:fldChar w:fldCharType="end"/>
          </w:r>
          <w:r>
            <w:rPr>
              <w:rFonts w:ascii="Cambria" w:hAnsi="Cambria" w:cs="Calibri"/>
              <w:sz w:val="16"/>
              <w:szCs w:val="16"/>
            </w:rPr>
            <w:t>/</w:t>
          </w:r>
          <w:r w:rsidR="00AA0249">
            <w:rPr>
              <w:rFonts w:ascii="Cambria" w:hAnsi="Cambria" w:cs="Calibri"/>
              <w:sz w:val="16"/>
              <w:szCs w:val="16"/>
            </w:rPr>
            <w:fldChar w:fldCharType="begin"/>
          </w:r>
          <w:r>
            <w:rPr>
              <w:rFonts w:ascii="Cambria" w:hAnsi="Cambria" w:cs="Calibri"/>
              <w:sz w:val="16"/>
              <w:szCs w:val="16"/>
            </w:rPr>
            <w:instrText xml:space="preserve"> NUMPAGES  </w:instrText>
          </w:r>
          <w:r w:rsidR="00AA0249">
            <w:rPr>
              <w:rFonts w:ascii="Cambria" w:hAnsi="Cambria" w:cs="Calibri"/>
              <w:sz w:val="16"/>
              <w:szCs w:val="16"/>
            </w:rPr>
            <w:fldChar w:fldCharType="separate"/>
          </w:r>
          <w:r w:rsidR="00101F34">
            <w:rPr>
              <w:rFonts w:ascii="Cambria" w:hAnsi="Cambria" w:cs="Calibri"/>
              <w:noProof/>
              <w:sz w:val="16"/>
              <w:szCs w:val="16"/>
            </w:rPr>
            <w:t>3</w:t>
          </w:r>
          <w:r w:rsidR="00AA0249">
            <w:rPr>
              <w:rFonts w:ascii="Cambria" w:hAnsi="Cambria" w:cs="Calibri"/>
              <w:sz w:val="16"/>
              <w:szCs w:val="16"/>
            </w:rPr>
            <w:fldChar w:fldCharType="end"/>
          </w:r>
        </w:p>
      </w:tc>
    </w:tr>
  </w:tbl>
  <w:p w:rsidR="006D272C" w:rsidRDefault="006D272C">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A57" w:rsidRDefault="00D04A57">
      <w:pPr>
        <w:spacing w:after="0"/>
      </w:pPr>
      <w:r>
        <w:separator/>
      </w:r>
    </w:p>
  </w:footnote>
  <w:footnote w:type="continuationSeparator" w:id="0">
    <w:p w:rsidR="00D04A57" w:rsidRDefault="00D04A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72C" w:rsidRDefault="006D272C">
    <w:pPr>
      <w:pStyle w:val="Header"/>
    </w:pPr>
  </w:p>
  <w:p w:rsidR="006D272C" w:rsidRDefault="006D27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1F34"/>
    <w:rsid w:val="00104B6E"/>
    <w:rsid w:val="00110FA2"/>
    <w:rsid w:val="00127D3F"/>
    <w:rsid w:val="00141CB0"/>
    <w:rsid w:val="0014427D"/>
    <w:rsid w:val="00144785"/>
    <w:rsid w:val="001448D6"/>
    <w:rsid w:val="001510AC"/>
    <w:rsid w:val="00161BC3"/>
    <w:rsid w:val="00162D9B"/>
    <w:rsid w:val="00163316"/>
    <w:rsid w:val="001679F6"/>
    <w:rsid w:val="00172E2F"/>
    <w:rsid w:val="00174CD2"/>
    <w:rsid w:val="0018386E"/>
    <w:rsid w:val="00192235"/>
    <w:rsid w:val="001947D2"/>
    <w:rsid w:val="00194AB4"/>
    <w:rsid w:val="001A6ADE"/>
    <w:rsid w:val="001A7C91"/>
    <w:rsid w:val="001C57FB"/>
    <w:rsid w:val="001C5DAC"/>
    <w:rsid w:val="001D252B"/>
    <w:rsid w:val="001E2CEF"/>
    <w:rsid w:val="001F251C"/>
    <w:rsid w:val="001F6D8D"/>
    <w:rsid w:val="00202939"/>
    <w:rsid w:val="00205E97"/>
    <w:rsid w:val="00206A97"/>
    <w:rsid w:val="0022150F"/>
    <w:rsid w:val="00223C8C"/>
    <w:rsid w:val="0022575B"/>
    <w:rsid w:val="00227C8E"/>
    <w:rsid w:val="00240CFC"/>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54C9"/>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B7E71"/>
    <w:rsid w:val="003C540A"/>
    <w:rsid w:val="003D1554"/>
    <w:rsid w:val="003D2A22"/>
    <w:rsid w:val="003D57E1"/>
    <w:rsid w:val="003D60DC"/>
    <w:rsid w:val="003D6D79"/>
    <w:rsid w:val="003E0A70"/>
    <w:rsid w:val="003E3A6B"/>
    <w:rsid w:val="003F0F4F"/>
    <w:rsid w:val="003F6011"/>
    <w:rsid w:val="004002AE"/>
    <w:rsid w:val="00400B07"/>
    <w:rsid w:val="004019DF"/>
    <w:rsid w:val="00407835"/>
    <w:rsid w:val="00410521"/>
    <w:rsid w:val="00423524"/>
    <w:rsid w:val="0042466C"/>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3094"/>
    <w:rsid w:val="004F510D"/>
    <w:rsid w:val="004F5938"/>
    <w:rsid w:val="004F6E63"/>
    <w:rsid w:val="00513852"/>
    <w:rsid w:val="00513EFB"/>
    <w:rsid w:val="005173B1"/>
    <w:rsid w:val="00522737"/>
    <w:rsid w:val="005276C6"/>
    <w:rsid w:val="00532436"/>
    <w:rsid w:val="005367C4"/>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3BFA"/>
    <w:rsid w:val="005C4D48"/>
    <w:rsid w:val="005C70FC"/>
    <w:rsid w:val="005D1421"/>
    <w:rsid w:val="005D6DDF"/>
    <w:rsid w:val="005E141C"/>
    <w:rsid w:val="005E1CC7"/>
    <w:rsid w:val="005F486C"/>
    <w:rsid w:val="0060093D"/>
    <w:rsid w:val="00612005"/>
    <w:rsid w:val="00620875"/>
    <w:rsid w:val="00624E83"/>
    <w:rsid w:val="00626065"/>
    <w:rsid w:val="006311E3"/>
    <w:rsid w:val="00631643"/>
    <w:rsid w:val="00633494"/>
    <w:rsid w:val="006339CD"/>
    <w:rsid w:val="0064602F"/>
    <w:rsid w:val="00653CA5"/>
    <w:rsid w:val="00657906"/>
    <w:rsid w:val="00660821"/>
    <w:rsid w:val="0066238B"/>
    <w:rsid w:val="006630A7"/>
    <w:rsid w:val="00667690"/>
    <w:rsid w:val="00670FFE"/>
    <w:rsid w:val="00671126"/>
    <w:rsid w:val="00675BB4"/>
    <w:rsid w:val="0067687F"/>
    <w:rsid w:val="006916BD"/>
    <w:rsid w:val="006A4F11"/>
    <w:rsid w:val="006A5891"/>
    <w:rsid w:val="006A5BA7"/>
    <w:rsid w:val="006A6ED1"/>
    <w:rsid w:val="006B41A2"/>
    <w:rsid w:val="006D272C"/>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446F0"/>
    <w:rsid w:val="00750AEB"/>
    <w:rsid w:val="00751605"/>
    <w:rsid w:val="00755879"/>
    <w:rsid w:val="00762431"/>
    <w:rsid w:val="0076665F"/>
    <w:rsid w:val="00770212"/>
    <w:rsid w:val="007774BF"/>
    <w:rsid w:val="00777AA9"/>
    <w:rsid w:val="00782703"/>
    <w:rsid w:val="00787D62"/>
    <w:rsid w:val="007923A6"/>
    <w:rsid w:val="00795A1E"/>
    <w:rsid w:val="00796127"/>
    <w:rsid w:val="007A10B1"/>
    <w:rsid w:val="007A3D42"/>
    <w:rsid w:val="007B1416"/>
    <w:rsid w:val="007B5F51"/>
    <w:rsid w:val="007C08D0"/>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342D"/>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1276"/>
    <w:rsid w:val="008A2E96"/>
    <w:rsid w:val="008A385F"/>
    <w:rsid w:val="008B1315"/>
    <w:rsid w:val="008B1553"/>
    <w:rsid w:val="008B1CC2"/>
    <w:rsid w:val="008B2B7B"/>
    <w:rsid w:val="008B600C"/>
    <w:rsid w:val="008C3345"/>
    <w:rsid w:val="008C56E8"/>
    <w:rsid w:val="008C57DA"/>
    <w:rsid w:val="008D1D77"/>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2140"/>
    <w:rsid w:val="009A44AC"/>
    <w:rsid w:val="009A5035"/>
    <w:rsid w:val="009C2896"/>
    <w:rsid w:val="009C43EF"/>
    <w:rsid w:val="009C4A76"/>
    <w:rsid w:val="009D7779"/>
    <w:rsid w:val="009D7C2B"/>
    <w:rsid w:val="009E2A80"/>
    <w:rsid w:val="009E2DF7"/>
    <w:rsid w:val="009E3DB1"/>
    <w:rsid w:val="009E56CB"/>
    <w:rsid w:val="009E69B9"/>
    <w:rsid w:val="009E79AC"/>
    <w:rsid w:val="009F2B36"/>
    <w:rsid w:val="00A01461"/>
    <w:rsid w:val="00A01C8B"/>
    <w:rsid w:val="00A073BF"/>
    <w:rsid w:val="00A11B6C"/>
    <w:rsid w:val="00A124D0"/>
    <w:rsid w:val="00A21010"/>
    <w:rsid w:val="00A22D32"/>
    <w:rsid w:val="00A2657A"/>
    <w:rsid w:val="00A444A5"/>
    <w:rsid w:val="00A46BCD"/>
    <w:rsid w:val="00A46F79"/>
    <w:rsid w:val="00A470BC"/>
    <w:rsid w:val="00A47B1E"/>
    <w:rsid w:val="00A51A43"/>
    <w:rsid w:val="00A60F63"/>
    <w:rsid w:val="00A70315"/>
    <w:rsid w:val="00A72B5E"/>
    <w:rsid w:val="00A74463"/>
    <w:rsid w:val="00A80B4C"/>
    <w:rsid w:val="00A84FB8"/>
    <w:rsid w:val="00A95A82"/>
    <w:rsid w:val="00AA0249"/>
    <w:rsid w:val="00AA2FB0"/>
    <w:rsid w:val="00AA43FB"/>
    <w:rsid w:val="00AA4DC6"/>
    <w:rsid w:val="00AB303C"/>
    <w:rsid w:val="00AC2059"/>
    <w:rsid w:val="00AC48D4"/>
    <w:rsid w:val="00AC5C1E"/>
    <w:rsid w:val="00AD1D9A"/>
    <w:rsid w:val="00AD2918"/>
    <w:rsid w:val="00AD30B3"/>
    <w:rsid w:val="00AD3252"/>
    <w:rsid w:val="00AD4F1F"/>
    <w:rsid w:val="00AD5DD9"/>
    <w:rsid w:val="00AE16D0"/>
    <w:rsid w:val="00AE36B9"/>
    <w:rsid w:val="00AE5C41"/>
    <w:rsid w:val="00AE62A7"/>
    <w:rsid w:val="00AF03AA"/>
    <w:rsid w:val="00AF1714"/>
    <w:rsid w:val="00AF2213"/>
    <w:rsid w:val="00B055AB"/>
    <w:rsid w:val="00B14D16"/>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391"/>
    <w:rsid w:val="00BB2664"/>
    <w:rsid w:val="00BB7623"/>
    <w:rsid w:val="00BC7B04"/>
    <w:rsid w:val="00BE0ADF"/>
    <w:rsid w:val="00BE4648"/>
    <w:rsid w:val="00BE5891"/>
    <w:rsid w:val="00BE6D1F"/>
    <w:rsid w:val="00BF0BC5"/>
    <w:rsid w:val="00BF72F5"/>
    <w:rsid w:val="00BF7EA7"/>
    <w:rsid w:val="00C02D33"/>
    <w:rsid w:val="00C03056"/>
    <w:rsid w:val="00C032CC"/>
    <w:rsid w:val="00C04213"/>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4A57"/>
    <w:rsid w:val="00D05D23"/>
    <w:rsid w:val="00D070D9"/>
    <w:rsid w:val="00D10563"/>
    <w:rsid w:val="00D12AA5"/>
    <w:rsid w:val="00D20F08"/>
    <w:rsid w:val="00D248C8"/>
    <w:rsid w:val="00D25506"/>
    <w:rsid w:val="00D27584"/>
    <w:rsid w:val="00D27822"/>
    <w:rsid w:val="00D3405C"/>
    <w:rsid w:val="00D43942"/>
    <w:rsid w:val="00D564AA"/>
    <w:rsid w:val="00D5759D"/>
    <w:rsid w:val="00D57E3C"/>
    <w:rsid w:val="00D764F7"/>
    <w:rsid w:val="00D91853"/>
    <w:rsid w:val="00DA1C36"/>
    <w:rsid w:val="00DA3DC5"/>
    <w:rsid w:val="00DB0206"/>
    <w:rsid w:val="00DB1154"/>
    <w:rsid w:val="00DB1ACB"/>
    <w:rsid w:val="00DB2A5B"/>
    <w:rsid w:val="00DB351A"/>
    <w:rsid w:val="00DB49E6"/>
    <w:rsid w:val="00DC2E13"/>
    <w:rsid w:val="00DC4ECD"/>
    <w:rsid w:val="00DD1ECB"/>
    <w:rsid w:val="00DD7C9E"/>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0B5A"/>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C799B"/>
    <w:rsid w:val="00EE2B1A"/>
    <w:rsid w:val="00EF0F6A"/>
    <w:rsid w:val="00EF5F84"/>
    <w:rsid w:val="00F03408"/>
    <w:rsid w:val="00F075A1"/>
    <w:rsid w:val="00F12E3E"/>
    <w:rsid w:val="00F15264"/>
    <w:rsid w:val="00F2055F"/>
    <w:rsid w:val="00F22194"/>
    <w:rsid w:val="00F30C75"/>
    <w:rsid w:val="00F42010"/>
    <w:rsid w:val="00F457A4"/>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A3ED5"/>
    <w:rsid w:val="00FB48B6"/>
    <w:rsid w:val="00FC2571"/>
    <w:rsid w:val="00FC2E10"/>
    <w:rsid w:val="00FC54DC"/>
    <w:rsid w:val="00FC783C"/>
    <w:rsid w:val="00FE476C"/>
    <w:rsid w:val="00FE74D7"/>
    <w:rsid w:val="00FF071F"/>
    <w:rsid w:val="00FF0A41"/>
    <w:rsid w:val="00FF2934"/>
    <w:rsid w:val="00FF4EC0"/>
    <w:rsid w:val="011522BF"/>
    <w:rsid w:val="05C614B0"/>
    <w:rsid w:val="08620127"/>
    <w:rsid w:val="118655CA"/>
    <w:rsid w:val="157D1A9E"/>
    <w:rsid w:val="1CEE46F1"/>
    <w:rsid w:val="20C70BF3"/>
    <w:rsid w:val="263122B6"/>
    <w:rsid w:val="2B4E6DDE"/>
    <w:rsid w:val="32A11C70"/>
    <w:rsid w:val="33A0386D"/>
    <w:rsid w:val="4056719A"/>
    <w:rsid w:val="42BF5214"/>
    <w:rsid w:val="4719384D"/>
    <w:rsid w:val="4C3811AC"/>
    <w:rsid w:val="4CD7384D"/>
    <w:rsid w:val="5074128E"/>
    <w:rsid w:val="54D95339"/>
    <w:rsid w:val="68457FA1"/>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058D7B-FCD0-47C4-8017-E1221204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7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6D272C"/>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6D272C"/>
    <w:rPr>
      <w:sz w:val="16"/>
      <w:szCs w:val="16"/>
    </w:rPr>
  </w:style>
  <w:style w:type="paragraph" w:styleId="CommentText">
    <w:name w:val="annotation text"/>
    <w:basedOn w:val="Normal"/>
    <w:semiHidden/>
    <w:qFormat/>
    <w:locked/>
    <w:rsid w:val="006D272C"/>
    <w:rPr>
      <w:sz w:val="20"/>
      <w:szCs w:val="20"/>
    </w:rPr>
  </w:style>
  <w:style w:type="paragraph" w:styleId="CommentSubject">
    <w:name w:val="annotation subject"/>
    <w:basedOn w:val="CommentText"/>
    <w:next w:val="CommentText"/>
    <w:semiHidden/>
    <w:qFormat/>
    <w:locked/>
    <w:rsid w:val="006D272C"/>
    <w:rPr>
      <w:b/>
      <w:bCs/>
    </w:rPr>
  </w:style>
  <w:style w:type="paragraph" w:styleId="Footer">
    <w:name w:val="footer"/>
    <w:basedOn w:val="Normal"/>
    <w:link w:val="FooterChar"/>
    <w:uiPriority w:val="99"/>
    <w:unhideWhenUsed/>
    <w:qFormat/>
    <w:locked/>
    <w:rsid w:val="006D272C"/>
    <w:pPr>
      <w:tabs>
        <w:tab w:val="center" w:pos="4536"/>
        <w:tab w:val="right" w:pos="9072"/>
      </w:tabs>
      <w:spacing w:after="0" w:line="240" w:lineRule="auto"/>
    </w:pPr>
  </w:style>
  <w:style w:type="character" w:styleId="FootnoteReference">
    <w:name w:val="footnote reference"/>
    <w:basedOn w:val="DefaultParagraphFont"/>
    <w:semiHidden/>
    <w:qFormat/>
    <w:locked/>
    <w:rsid w:val="006D272C"/>
    <w:rPr>
      <w:vertAlign w:val="superscript"/>
    </w:rPr>
  </w:style>
  <w:style w:type="paragraph" w:styleId="FootnoteText">
    <w:name w:val="footnote text"/>
    <w:basedOn w:val="Normal"/>
    <w:semiHidden/>
    <w:locked/>
    <w:rsid w:val="006D272C"/>
    <w:rPr>
      <w:sz w:val="20"/>
      <w:szCs w:val="20"/>
    </w:rPr>
  </w:style>
  <w:style w:type="paragraph" w:styleId="Header">
    <w:name w:val="header"/>
    <w:basedOn w:val="Normal"/>
    <w:link w:val="HeaderChar"/>
    <w:uiPriority w:val="99"/>
    <w:unhideWhenUsed/>
    <w:qFormat/>
    <w:locked/>
    <w:rsid w:val="006D272C"/>
    <w:pPr>
      <w:tabs>
        <w:tab w:val="center" w:pos="4536"/>
        <w:tab w:val="right" w:pos="9072"/>
      </w:tabs>
      <w:spacing w:after="0" w:line="240" w:lineRule="auto"/>
    </w:pPr>
  </w:style>
  <w:style w:type="character" w:styleId="Hyperlink">
    <w:name w:val="Hyperlink"/>
    <w:basedOn w:val="DefaultParagraphFont"/>
    <w:uiPriority w:val="99"/>
    <w:unhideWhenUsed/>
    <w:qFormat/>
    <w:locked/>
    <w:rsid w:val="006D272C"/>
    <w:rPr>
      <w:color w:val="0000FF"/>
      <w:u w:val="single"/>
    </w:rPr>
  </w:style>
  <w:style w:type="character" w:styleId="PageNumber">
    <w:name w:val="page number"/>
    <w:basedOn w:val="DefaultParagraphFont"/>
    <w:qFormat/>
    <w:locked/>
    <w:rsid w:val="006D272C"/>
  </w:style>
  <w:style w:type="paragraph" w:styleId="PlainText">
    <w:name w:val="Plain Text"/>
    <w:basedOn w:val="Normal"/>
    <w:link w:val="PlainTextChar"/>
    <w:uiPriority w:val="99"/>
    <w:unhideWhenUsed/>
    <w:locked/>
    <w:rsid w:val="006D272C"/>
    <w:pPr>
      <w:spacing w:after="0" w:line="240" w:lineRule="auto"/>
    </w:pPr>
    <w:rPr>
      <w:rFonts w:ascii="Consolas" w:hAnsi="Consolas"/>
      <w:sz w:val="21"/>
      <w:szCs w:val="21"/>
    </w:rPr>
  </w:style>
  <w:style w:type="character" w:styleId="Strong">
    <w:name w:val="Strong"/>
    <w:basedOn w:val="DefaultParagraphFont"/>
    <w:uiPriority w:val="22"/>
    <w:qFormat/>
    <w:locked/>
    <w:rsid w:val="006D272C"/>
    <w:rPr>
      <w:b/>
      <w:bCs/>
    </w:rPr>
  </w:style>
  <w:style w:type="table" w:styleId="TableGrid">
    <w:name w:val="Table Grid"/>
    <w:basedOn w:val="TableNormal"/>
    <w:uiPriority w:val="59"/>
    <w:qFormat/>
    <w:locked/>
    <w:rsid w:val="006D2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6D272C"/>
    <w:rPr>
      <w:rFonts w:ascii="Tahoma" w:hAnsi="Tahoma" w:cs="Tahoma"/>
      <w:sz w:val="16"/>
      <w:szCs w:val="16"/>
    </w:rPr>
  </w:style>
  <w:style w:type="paragraph" w:styleId="NoSpacing">
    <w:name w:val="No Spacing"/>
    <w:uiPriority w:val="1"/>
    <w:qFormat/>
    <w:rsid w:val="006D272C"/>
    <w:rPr>
      <w:sz w:val="22"/>
      <w:szCs w:val="22"/>
      <w:lang w:eastAsia="en-US"/>
    </w:rPr>
  </w:style>
  <w:style w:type="character" w:styleId="PlaceholderText">
    <w:name w:val="Placeholder Text"/>
    <w:basedOn w:val="DefaultParagraphFont"/>
    <w:uiPriority w:val="99"/>
    <w:semiHidden/>
    <w:qFormat/>
    <w:locked/>
    <w:rsid w:val="006D272C"/>
    <w:rPr>
      <w:color w:val="808080"/>
    </w:rPr>
  </w:style>
  <w:style w:type="paragraph" w:styleId="ListParagraph">
    <w:name w:val="List Paragraph"/>
    <w:basedOn w:val="Normal"/>
    <w:uiPriority w:val="34"/>
    <w:qFormat/>
    <w:locked/>
    <w:rsid w:val="006D272C"/>
    <w:pPr>
      <w:ind w:left="720"/>
      <w:contextualSpacing/>
    </w:pPr>
  </w:style>
  <w:style w:type="character" w:customStyle="1" w:styleId="HeaderChar">
    <w:name w:val="Header Char"/>
    <w:basedOn w:val="DefaultParagraphFont"/>
    <w:link w:val="Header"/>
    <w:uiPriority w:val="99"/>
    <w:qFormat/>
    <w:rsid w:val="006D272C"/>
  </w:style>
  <w:style w:type="character" w:customStyle="1" w:styleId="FooterChar">
    <w:name w:val="Footer Char"/>
    <w:basedOn w:val="DefaultParagraphFont"/>
    <w:link w:val="Footer"/>
    <w:uiPriority w:val="99"/>
    <w:qFormat/>
    <w:rsid w:val="006D272C"/>
    <w:rPr>
      <w:sz w:val="22"/>
      <w:szCs w:val="22"/>
      <w:lang w:eastAsia="en-US"/>
    </w:rPr>
  </w:style>
  <w:style w:type="paragraph" w:customStyle="1" w:styleId="Style">
    <w:name w:val="Style"/>
    <w:qFormat/>
    <w:rsid w:val="006D272C"/>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6D272C"/>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6D272C"/>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6D272C"/>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6D272C"/>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6D272C"/>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CFC2D-9B3C-4E8C-90BF-8C3705BA3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1031</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2024-03-19T08:24:00Z</cp:lastPrinted>
  <dcterms:created xsi:type="dcterms:W3CDTF">2026-03-05T09:38:00Z</dcterms:created>
  <dcterms:modified xsi:type="dcterms:W3CDTF">2026-03-11T11:28:00Z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41BE827C49614E40B57A0B5B4196BF4F</vt:lpwstr>
  </property>
</Properties>
</file>